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right"/>
        <w:rPr>
          <w:lang w:val="lt-LT"/>
        </w:rPr>
      </w:pPr>
      <w:r>
        <w:rPr>
          <w:lang w:val="lt-LT"/>
        </w:rPr>
        <w:t>Anykščių rajono savivaldybės</w:t>
      </w:r>
    </w:p>
    <w:p>
      <w:pPr>
        <w:pStyle w:val="Normal"/>
        <w:spacing w:before="0" w:after="0"/>
        <w:jc w:val="right"/>
        <w:rPr>
          <w:lang w:val="lt-LT"/>
        </w:rPr>
      </w:pPr>
      <w:r>
        <w:rPr>
          <w:lang w:val="lt-LT"/>
        </w:rPr>
        <w:t xml:space="preserve">         </w:t>
      </w:r>
      <w:r>
        <w:rPr>
          <w:lang w:val="lt-LT"/>
        </w:rPr>
        <w:t xml:space="preserve">2024–2026 metų korupcijos </w:t>
      </w:r>
    </w:p>
    <w:p>
      <w:pPr>
        <w:pStyle w:val="Normal"/>
        <w:spacing w:before="0" w:after="0"/>
        <w:jc w:val="right"/>
        <w:rPr>
          <w:lang w:val="lt-LT"/>
        </w:rPr>
      </w:pPr>
      <w:r>
        <w:rPr>
          <w:lang w:val="lt-LT"/>
        </w:rPr>
        <w:tab/>
        <w:tab/>
        <w:tab/>
        <w:tab/>
        <w:t xml:space="preserve">     prevencijos veiksmų plano priedas</w:t>
      </w:r>
    </w:p>
    <w:p>
      <w:pPr>
        <w:pStyle w:val="Normal"/>
        <w:rPr>
          <w:lang w:val="lt-LT"/>
        </w:rPr>
      </w:pPr>
      <w:r>
        <w:rPr>
          <w:lang w:val="lt-LT"/>
        </w:rPr>
      </w:r>
    </w:p>
    <w:p>
      <w:pPr>
        <w:pStyle w:val="Normal"/>
        <w:jc w:val="center"/>
        <w:rPr>
          <w:b/>
          <w:bCs/>
          <w:lang w:val="lt-LT"/>
        </w:rPr>
      </w:pPr>
      <w:bookmarkStart w:id="0" w:name="_Toc150242628"/>
      <w:r>
        <w:rPr>
          <w:b/>
          <w:bCs/>
          <w:lang w:val="lt-LT"/>
        </w:rPr>
        <w:t>ANYKŠČIŲ RAJONO SAVIVALDYBĖS 2024–2026 METŲ KORUPCIJOS PREVENCIJOS</w:t>
      </w:r>
      <w:bookmarkEnd w:id="0"/>
    </w:p>
    <w:p>
      <w:pPr>
        <w:pStyle w:val="Normal"/>
        <w:jc w:val="center"/>
        <w:rPr>
          <w:b/>
          <w:bCs/>
          <w:lang w:val="lt-LT"/>
        </w:rPr>
      </w:pPr>
      <w:bookmarkStart w:id="1" w:name="_Toc150242629"/>
      <w:r>
        <w:rPr>
          <w:b/>
          <w:bCs/>
          <w:lang w:val="lt-LT"/>
        </w:rPr>
        <w:t>VEIKSMŲ PLANO ĮGYVENDINIMO PRIEMONĖS</w:t>
      </w:r>
      <w:bookmarkEnd w:id="1"/>
    </w:p>
    <w:p>
      <w:pPr>
        <w:pStyle w:val="Normal"/>
        <w:jc w:val="center"/>
        <w:rPr/>
      </w:pPr>
      <w:r>
        <w:rPr/>
        <w:t>2025-01-30 Nr. S-170-5.16</w:t>
      </w:r>
      <w:bookmarkStart w:id="2" w:name="_GoBack"/>
      <w:bookmarkEnd w:id="2"/>
    </w:p>
    <w:tbl>
      <w:tblPr>
        <w:tblStyle w:val="Lentelstinklelis"/>
        <w:tblW w:w="14054" w:type="dxa"/>
        <w:jc w:val="left"/>
        <w:tblInd w:w="180" w:type="dxa"/>
        <w:tblLayout w:type="fixed"/>
        <w:tblCellMar>
          <w:top w:w="0" w:type="dxa"/>
          <w:left w:w="108" w:type="dxa"/>
          <w:bottom w:w="0" w:type="dxa"/>
          <w:right w:w="108" w:type="dxa"/>
        </w:tblCellMar>
        <w:tblLook w:firstRow="1" w:noVBand="1" w:lastRow="0" w:firstColumn="1" w:lastColumn="0" w:noHBand="0" w:val="04a0"/>
      </w:tblPr>
      <w:tblGrid>
        <w:gridCol w:w="948"/>
        <w:gridCol w:w="2645"/>
        <w:gridCol w:w="2694"/>
        <w:gridCol w:w="2551"/>
        <w:gridCol w:w="2836"/>
        <w:gridCol w:w="2379"/>
      </w:tblGrid>
      <w:tr>
        <w:trPr>
          <w:trHeight w:val="459" w:hRule="atLeast"/>
        </w:trPr>
        <w:tc>
          <w:tcPr>
            <w:tcW w:w="948" w:type="dxa"/>
            <w:tcBorders/>
          </w:tcPr>
          <w:p>
            <w:pPr>
              <w:pStyle w:val="Normal"/>
              <w:widowControl/>
              <w:suppressAutoHyphens w:val="true"/>
              <w:spacing w:lineRule="auto" w:line="240" w:before="0" w:after="0"/>
              <w:jc w:val="left"/>
              <w:rPr>
                <w:b/>
                <w:lang w:val="lt-LT"/>
              </w:rPr>
            </w:pPr>
            <w:r>
              <w:rPr>
                <w:rFonts w:eastAsia="Calibri" w:cs=""/>
                <w:b/>
                <w:kern w:val="2"/>
                <w:sz w:val="24"/>
                <w:szCs w:val="22"/>
                <w:lang w:val="lt-LT" w:eastAsia="en-US" w:bidi="ar-SA"/>
              </w:rPr>
              <w:t>Eil. Nr.</w:t>
            </w:r>
          </w:p>
        </w:tc>
        <w:tc>
          <w:tcPr>
            <w:tcW w:w="2645" w:type="dxa"/>
            <w:tcBorders/>
          </w:tcPr>
          <w:p>
            <w:pPr>
              <w:pStyle w:val="Normal"/>
              <w:widowControl/>
              <w:suppressAutoHyphens w:val="true"/>
              <w:spacing w:lineRule="auto" w:line="240" w:before="0" w:after="0"/>
              <w:jc w:val="left"/>
              <w:rPr>
                <w:b/>
                <w:lang w:val="lt-LT"/>
              </w:rPr>
            </w:pPr>
            <w:r>
              <w:rPr>
                <w:rFonts w:eastAsia="Calibri" w:cs=""/>
                <w:b/>
                <w:kern w:val="2"/>
                <w:sz w:val="24"/>
                <w:szCs w:val="22"/>
                <w:lang w:val="lt-LT" w:eastAsia="en-US" w:bidi="ar-SA"/>
              </w:rPr>
              <w:t>Priemonės pavadinimas</w:t>
            </w:r>
          </w:p>
        </w:tc>
        <w:tc>
          <w:tcPr>
            <w:tcW w:w="2694" w:type="dxa"/>
            <w:tcBorders/>
          </w:tcPr>
          <w:p>
            <w:pPr>
              <w:pStyle w:val="Normal"/>
              <w:widowControl/>
              <w:suppressAutoHyphens w:val="true"/>
              <w:spacing w:lineRule="auto" w:line="240" w:before="0" w:after="0"/>
              <w:jc w:val="left"/>
              <w:rPr>
                <w:b/>
                <w:lang w:val="lt-LT"/>
              </w:rPr>
            </w:pPr>
            <w:r>
              <w:rPr>
                <w:rFonts w:eastAsia="Calibri" w:cs=""/>
                <w:b/>
                <w:kern w:val="2"/>
                <w:sz w:val="24"/>
                <w:szCs w:val="22"/>
                <w:lang w:val="lt-LT" w:eastAsia="en-US" w:bidi="ar-SA"/>
              </w:rPr>
              <w:t>Vykdytojas(-ai)</w:t>
            </w:r>
          </w:p>
        </w:tc>
        <w:tc>
          <w:tcPr>
            <w:tcW w:w="2551" w:type="dxa"/>
            <w:tcBorders/>
          </w:tcPr>
          <w:p>
            <w:pPr>
              <w:pStyle w:val="Normal"/>
              <w:widowControl/>
              <w:suppressAutoHyphens w:val="true"/>
              <w:spacing w:lineRule="auto" w:line="240" w:before="0" w:after="0"/>
              <w:jc w:val="left"/>
              <w:rPr>
                <w:b/>
                <w:lang w:val="lt-LT"/>
              </w:rPr>
            </w:pPr>
            <w:r>
              <w:rPr>
                <w:rFonts w:eastAsia="Calibri" w:cs=""/>
                <w:b/>
                <w:kern w:val="2"/>
                <w:sz w:val="24"/>
                <w:szCs w:val="22"/>
                <w:lang w:val="lt-LT" w:eastAsia="en-US" w:bidi="ar-SA"/>
              </w:rPr>
              <w:t>Vykdymo laikas</w:t>
            </w:r>
          </w:p>
        </w:tc>
        <w:tc>
          <w:tcPr>
            <w:tcW w:w="2836" w:type="dxa"/>
            <w:tcBorders/>
          </w:tcPr>
          <w:p>
            <w:pPr>
              <w:pStyle w:val="Normal"/>
              <w:widowControl/>
              <w:suppressAutoHyphens w:val="true"/>
              <w:spacing w:lineRule="auto" w:line="240" w:before="0" w:after="0"/>
              <w:jc w:val="left"/>
              <w:rPr>
                <w:b/>
                <w:lang w:val="lt-LT"/>
              </w:rPr>
            </w:pPr>
            <w:r>
              <w:rPr>
                <w:rFonts w:eastAsia="Calibri" w:cs=""/>
                <w:b/>
                <w:kern w:val="2"/>
                <w:sz w:val="24"/>
                <w:szCs w:val="22"/>
                <w:lang w:val="lt-LT" w:eastAsia="en-US" w:bidi="ar-SA"/>
              </w:rPr>
              <w:t>Laukiami rezultatai</w:t>
            </w:r>
          </w:p>
          <w:p>
            <w:pPr>
              <w:pStyle w:val="Normal"/>
              <w:widowControl/>
              <w:suppressAutoHyphens w:val="true"/>
              <w:spacing w:lineRule="auto" w:line="240" w:before="0" w:after="0"/>
              <w:jc w:val="left"/>
              <w:rPr>
                <w:b/>
                <w:lang w:val="lt-LT"/>
              </w:rPr>
            </w:pPr>
            <w:r>
              <w:rPr>
                <w:rFonts w:eastAsia="Calibri" w:cs=""/>
                <w:b/>
                <w:kern w:val="2"/>
                <w:sz w:val="24"/>
                <w:szCs w:val="22"/>
                <w:lang w:val="lt-LT" w:eastAsia="en-US" w:bidi="ar-SA"/>
              </w:rPr>
              <w:t>vertinimo kriterijai</w:t>
            </w:r>
          </w:p>
        </w:tc>
        <w:tc>
          <w:tcPr>
            <w:tcW w:w="2379" w:type="dxa"/>
            <w:tcBorders/>
            <w:shd w:color="auto" w:fill="auto" w:val="clear"/>
          </w:tcPr>
          <w:p>
            <w:pPr>
              <w:pStyle w:val="Normal"/>
              <w:widowControl/>
              <w:suppressAutoHyphens w:val="true"/>
              <w:spacing w:lineRule="auto" w:line="240" w:before="0" w:after="0"/>
              <w:jc w:val="left"/>
              <w:rPr>
                <w:b/>
                <w:bCs/>
              </w:rPr>
            </w:pPr>
            <w:r>
              <w:rPr>
                <w:rFonts w:eastAsia="Calibri" w:cs=""/>
                <w:b/>
                <w:bCs/>
                <w:kern w:val="2"/>
                <w:sz w:val="24"/>
                <w:szCs w:val="22"/>
                <w:lang w:val="en-US" w:eastAsia="en-US" w:bidi="ar-SA"/>
              </w:rPr>
              <w:t>Pasiektas rezultatas</w:t>
            </w:r>
          </w:p>
        </w:tc>
      </w:tr>
      <w:tr>
        <w:trPr>
          <w:trHeight w:val="229" w:hRule="atLeast"/>
        </w:trPr>
        <w:tc>
          <w:tcPr>
            <w:tcW w:w="14053" w:type="dxa"/>
            <w:gridSpan w:val="6"/>
            <w:tcBorders/>
            <w:shd w:color="auto" w:fill="E7E6E6" w:themeFill="background2" w:val="clear"/>
          </w:tcPr>
          <w:p>
            <w:pPr>
              <w:pStyle w:val="Normal"/>
              <w:widowControl/>
              <w:suppressAutoHyphens w:val="true"/>
              <w:spacing w:lineRule="auto" w:line="240" w:before="0" w:after="0"/>
              <w:jc w:val="left"/>
              <w:rPr>
                <w:rFonts w:eastAsia="Calibri"/>
              </w:rPr>
            </w:pPr>
            <w:r>
              <w:rPr>
                <w:rFonts w:eastAsia="Calibri" w:cs=""/>
                <w:b/>
                <w:bCs/>
                <w:kern w:val="2"/>
                <w:sz w:val="24"/>
                <w:szCs w:val="22"/>
                <w:lang w:val="lt-LT" w:eastAsia="en-US" w:bidi="ar-SA"/>
              </w:rPr>
              <w:t>PIRMASIS VEIKSMŲ PLANO TIKSLAS – UŽTIKRINTI SKAIDRUMĄ ADMINISTRUOJANT TEIKIAMAS PASLAUGAS</w:t>
            </w:r>
          </w:p>
        </w:tc>
      </w:tr>
      <w:tr>
        <w:trPr>
          <w:trHeight w:val="229" w:hRule="atLeast"/>
        </w:trPr>
        <w:tc>
          <w:tcPr>
            <w:tcW w:w="11674" w:type="dxa"/>
            <w:gridSpan w:val="5"/>
            <w:tcBorders/>
          </w:tcPr>
          <w:p>
            <w:pPr>
              <w:pStyle w:val="Normal"/>
              <w:widowControl/>
              <w:suppressAutoHyphens w:val="true"/>
              <w:spacing w:before="0" w:after="0"/>
              <w:jc w:val="left"/>
              <w:rPr>
                <w:b/>
                <w:lang w:val="lt-LT"/>
              </w:rPr>
            </w:pPr>
            <w:r>
              <w:rPr>
                <w:rFonts w:eastAsia="Calibri" w:cs=""/>
                <w:b/>
                <w:kern w:val="2"/>
                <w:sz w:val="24"/>
                <w:szCs w:val="22"/>
                <w:lang w:val="lt-LT" w:eastAsia="en-US" w:bidi="ar-SA"/>
              </w:rPr>
              <w:t>1 uždavinys. Siekti, kad Savivaldybėje ir jai pavaldžiose įstaigose vykdomos procedūros būtų viešos ir skaidrios.</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1.</w:t>
            </w:r>
          </w:p>
        </w:tc>
        <w:tc>
          <w:tcPr>
            <w:tcW w:w="2645" w:type="dxa"/>
            <w:tcBorders/>
          </w:tcPr>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Savivaldybės interneto svetainėje, Savivaldybės įstaigų ir įmonių interneto svetainėse skelbti informaciją apie planuojamus vykdyti viešuosius pirkimus.</w:t>
            </w:r>
          </w:p>
        </w:tc>
        <w:tc>
          <w:tcPr>
            <w:tcW w:w="2694" w:type="dxa"/>
            <w:tcBorders/>
          </w:tcPr>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Viešųjų pirkimų ir turto skyrius</w:t>
            </w:r>
          </w:p>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Savivaldybei pavaldžių įstaigų  ir įmonių vadovai.</w:t>
            </w:r>
          </w:p>
        </w:tc>
        <w:tc>
          <w:tcPr>
            <w:tcW w:w="2551" w:type="dxa"/>
            <w:tcBorders/>
          </w:tcPr>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Iki einamų metų kovo 15 d., esant pakeitimams per 5 d. d.</w:t>
            </w:r>
          </w:p>
        </w:tc>
        <w:tc>
          <w:tcPr>
            <w:tcW w:w="2836" w:type="dxa"/>
            <w:tcBorders/>
          </w:tcPr>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100 proc. patvirtinti ir paskelbti viešųjų pirkimų planai su papildymais.</w:t>
            </w:r>
          </w:p>
        </w:tc>
        <w:tc>
          <w:tcPr>
            <w:tcW w:w="2379" w:type="dxa"/>
            <w:tcBorders/>
            <w:shd w:color="auto" w:fill="auto" w:val="clear"/>
          </w:tcPr>
          <w:p>
            <w:pPr>
              <w:pStyle w:val="Normal"/>
              <w:widowControl/>
              <w:suppressAutoHyphens w:val="true"/>
              <w:spacing w:lineRule="auto" w:line="240" w:before="0" w:after="0"/>
              <w:jc w:val="left"/>
              <w:rPr>
                <w:u w:val="single"/>
                <w:lang w:val="lt-LT"/>
              </w:rPr>
            </w:pPr>
            <w:r>
              <w:rPr>
                <w:rFonts w:eastAsia="Calibri" w:cs=""/>
                <w:kern w:val="2"/>
                <w:sz w:val="24"/>
                <w:szCs w:val="22"/>
                <w:lang w:val="lt-LT" w:eastAsia="en-US" w:bidi="ar-SA"/>
              </w:rPr>
              <w:t xml:space="preserve">Anykščių PSPC, interneto svetainės </w:t>
            </w:r>
            <w:hyperlink r:id="rId2">
              <w:r>
                <w:rPr>
                  <w:rStyle w:val="Hyperlink"/>
                  <w:rFonts w:eastAsia="Calibri" w:cs=""/>
                  <w:kern w:val="2"/>
                  <w:sz w:val="24"/>
                  <w:szCs w:val="22"/>
                  <w:lang w:val="lt-LT" w:eastAsia="en-US" w:bidi="ar-SA"/>
                </w:rPr>
                <w:t>www.anykpspc.lt</w:t>
              </w:r>
            </w:hyperlink>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 xml:space="preserve">nuorodoje “ Viešieji pirkimai “ </w:t>
            </w:r>
            <w:r>
              <w:rPr>
                <w:rFonts w:eastAsia="Calibri" w:cs=""/>
                <w:kern w:val="2"/>
                <w:sz w:val="24"/>
                <w:szCs w:val="22"/>
                <w:lang w:val="en-US" w:eastAsia="en-US" w:bidi="ar-SA"/>
              </w:rPr>
              <w:t>100 proc. patvirtinti ir paskelbti vie</w:t>
            </w:r>
            <w:r>
              <w:rPr>
                <w:rFonts w:eastAsia="Calibri" w:cs=""/>
                <w:kern w:val="2"/>
                <w:sz w:val="24"/>
                <w:szCs w:val="22"/>
                <w:lang w:val="lt-LT" w:eastAsia="en-US" w:bidi="ar-SA"/>
              </w:rPr>
              <w:t>šųjų pirkimų planai</w:t>
            </w:r>
            <w:r>
              <w:rPr>
                <w:rFonts w:eastAsia="Calibri" w:cs=""/>
                <w:kern w:val="2"/>
                <w:sz w:val="24"/>
                <w:szCs w:val="22"/>
                <w:u w:val="single"/>
                <w:lang w:val="lt-LT" w:eastAsia="en-US" w:bidi="ar-SA"/>
              </w:rPr>
              <w:t xml:space="preserve">. </w:t>
            </w:r>
          </w:p>
        </w:tc>
      </w:tr>
      <w:tr>
        <w:trPr>
          <w:trHeight w:val="947"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2.</w:t>
            </w:r>
          </w:p>
        </w:tc>
        <w:tc>
          <w:tcPr>
            <w:tcW w:w="2645" w:type="dxa"/>
            <w:tcBorders/>
          </w:tcPr>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Didinti mažos vertės neskelbiamų pirkimų skaičių per Centrinę viešųjų pirkimų informacinę sistemą (toliau – CVPIS).</w:t>
            </w:r>
          </w:p>
        </w:tc>
        <w:tc>
          <w:tcPr>
            <w:tcW w:w="2694" w:type="dxa"/>
            <w:tcBorders/>
          </w:tcPr>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Viešųjų pirkimų ir turto skyrius,</w:t>
            </w:r>
          </w:p>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Savivaldybei pavaldžių įstaigų ir įmonių vadovai.</w:t>
            </w:r>
          </w:p>
        </w:tc>
        <w:tc>
          <w:tcPr>
            <w:tcW w:w="2551" w:type="dxa"/>
            <w:tcBorders>
              <w:bottom w:val="nil"/>
            </w:tcBorders>
          </w:tcPr>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Nuolat.</w:t>
            </w:r>
          </w:p>
        </w:tc>
        <w:tc>
          <w:tcPr>
            <w:tcW w:w="2836" w:type="dxa"/>
            <w:tcBorders>
              <w:bottom w:val="nil"/>
            </w:tcBorders>
          </w:tcPr>
          <w:p>
            <w:pPr>
              <w:pStyle w:val="Normal"/>
              <w:widowControl/>
              <w:suppressAutoHyphens w:val="true"/>
              <w:spacing w:lineRule="auto" w:line="240" w:before="0" w:after="0"/>
              <w:jc w:val="left"/>
              <w:rPr>
                <w:bCs/>
                <w:lang w:val="lt-LT"/>
              </w:rPr>
            </w:pPr>
            <w:r>
              <w:rPr>
                <w:rFonts w:eastAsia="Calibri" w:cs=""/>
                <w:bCs/>
                <w:kern w:val="2"/>
                <w:sz w:val="24"/>
                <w:szCs w:val="22"/>
                <w:lang w:val="lt-LT" w:eastAsia="en-US" w:bidi="ar-SA"/>
              </w:rPr>
              <w:t>Savivaldybė ir Savivaldybei pavaldžios įstaigos ir įmonės įvykdo 10 proc. mažos vertės neskelbiamų pirkimų nuo visų įvykdytų mažos vertės neskelbiamų viešųjų pirkimų naudojantis CVPIS (100 proc.).</w:t>
            </w:r>
          </w:p>
        </w:tc>
        <w:tc>
          <w:tcPr>
            <w:tcW w:w="2379" w:type="dxa"/>
            <w:tcBorders/>
            <w:shd w:color="auto" w:fill="auto" w:val="clear"/>
          </w:tcPr>
          <w:p>
            <w:pPr>
              <w:pStyle w:val="Normal"/>
              <w:widowControl/>
              <w:suppressAutoHyphens w:val="true"/>
              <w:spacing w:lineRule="auto" w:line="240" w:before="0" w:after="0"/>
              <w:jc w:val="left"/>
              <w:rPr>
                <w:rFonts w:eastAsia="Calibri"/>
                <w:color w:themeColor="text1" w:val="000000"/>
              </w:rPr>
            </w:pPr>
            <w:r>
              <w:rPr>
                <w:rFonts w:eastAsia="Calibri" w:cs=""/>
                <w:color w:themeColor="text1" w:val="000000"/>
                <w:kern w:val="2"/>
                <w:sz w:val="24"/>
                <w:szCs w:val="22"/>
                <w:lang w:val="lt-LT" w:eastAsia="en-US" w:bidi="ar-SA"/>
              </w:rPr>
              <w:t>Anykščių PSPC įvykdė 15 proc. mažos vertės neskelbiamų viešųjų pirkimų naudojantis CVPIS.</w:t>
            </w:r>
          </w:p>
        </w:tc>
      </w:tr>
      <w:tr>
        <w:trPr>
          <w:trHeight w:val="229" w:hRule="atLeast"/>
        </w:trPr>
        <w:tc>
          <w:tcPr>
            <w:tcW w:w="14053" w:type="dxa"/>
            <w:gridSpan w:val="6"/>
            <w:tcBorders/>
          </w:tcPr>
          <w:p>
            <w:pPr>
              <w:pStyle w:val="Normal"/>
              <w:widowControl/>
              <w:suppressAutoHyphens w:val="true"/>
              <w:spacing w:lineRule="auto" w:line="240" w:before="0" w:after="0"/>
              <w:jc w:val="left"/>
              <w:rPr>
                <w:rFonts w:eastAsia="Calibri"/>
              </w:rPr>
            </w:pPr>
            <w:r>
              <w:rPr>
                <w:rFonts w:eastAsia="Calibri" w:cs=""/>
                <w:b/>
                <w:kern w:val="2"/>
                <w:sz w:val="24"/>
                <w:szCs w:val="22"/>
                <w:lang w:val="lt-LT" w:eastAsia="en-US" w:bidi="ar-SA"/>
              </w:rPr>
              <w:t>2 uždavinys. Užtikrinti veiksmingą ir kryptingą ilgalaikį korupcijos prevencijos priemonių įgyvendinimą Savivaldybėje bei jai pavaldžiose įstaigose ir įmonėse.</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1.</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Nuolat atlikti Savivaldybei pavaldžių įstaigų bei įmonių korupcijos prevencijos priemonių įgyvendinimo stebėseną ir kontrolę.</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 xml:space="preserve">Antikorupcijos komisija, Anykščių rajono savivaldybės administracijos Teisės, personalo ir civilinės metrikacijos skyriaus vyriausiasis specialistas  atsakingas už </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korupcijos prevenciją.</w:t>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Savivaldybei pavaldžios įstaigos ir įmonės iki kiekvienų metų sausio 31 d. teikia išvadas apie korupcijos prevencijos priemonių įgyvendinimą Savivaldybės administracijai.</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Gautos išvados ir šių išvadų išanalizavimas Antikorupcijos komisijos posėdyje bei veiksmingų priemonių numatymas, gerinantis priemonių įgyvendinimą.</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r>
          </w:p>
        </w:tc>
      </w:tr>
      <w:tr>
        <w:trPr>
          <w:trHeight w:val="229" w:hRule="atLeast"/>
        </w:trPr>
        <w:tc>
          <w:tcPr>
            <w:tcW w:w="14053" w:type="dxa"/>
            <w:gridSpan w:val="6"/>
            <w:tcBorders/>
            <w:shd w:color="auto" w:fill="E7E6E6" w:themeFill="background2" w:val="clear"/>
          </w:tcPr>
          <w:p>
            <w:pPr>
              <w:pStyle w:val="Normal"/>
              <w:widowControl/>
              <w:suppressAutoHyphens w:val="true"/>
              <w:spacing w:lineRule="auto" w:line="240" w:before="0" w:after="0"/>
              <w:jc w:val="left"/>
              <w:rPr>
                <w:rFonts w:eastAsia="Calibri"/>
              </w:rPr>
            </w:pPr>
            <w:r>
              <w:rPr>
                <w:rFonts w:eastAsia="Calibri" w:cs=""/>
                <w:b/>
                <w:kern w:val="2"/>
                <w:sz w:val="24"/>
                <w:szCs w:val="22"/>
                <w:lang w:val="lt-LT" w:eastAsia="en-US" w:bidi="ar-SA"/>
              </w:rPr>
              <w:t>ANTRASIS VEIKSMŲ PLANO TIKSLAS – ŠALINTI PRIELAIDAS, KURIOS SUDARO GALIMYBĘ SAVIVALDYBĖJE BEI JAI PAVALDŽIŲ ĮSTAIGŲ IR ĮMONIŲ DARBUOTOJAMS PASINAUDOTI TARNYBINE PADĖTIMI</w:t>
            </w:r>
          </w:p>
        </w:tc>
      </w:tr>
      <w:tr>
        <w:trPr>
          <w:trHeight w:val="229" w:hRule="atLeast"/>
        </w:trPr>
        <w:tc>
          <w:tcPr>
            <w:tcW w:w="14053" w:type="dxa"/>
            <w:gridSpan w:val="6"/>
            <w:tcBorders/>
          </w:tcPr>
          <w:p>
            <w:pPr>
              <w:pStyle w:val="Normal"/>
              <w:widowControl/>
              <w:suppressAutoHyphens w:val="true"/>
              <w:spacing w:lineRule="auto" w:line="240" w:before="0" w:after="0"/>
              <w:jc w:val="left"/>
              <w:rPr>
                <w:rFonts w:eastAsia="Calibri"/>
              </w:rPr>
            </w:pPr>
            <w:r>
              <w:rPr>
                <w:rFonts w:eastAsia="Calibri" w:cs=""/>
                <w:b/>
                <w:kern w:val="2"/>
                <w:sz w:val="24"/>
                <w:szCs w:val="22"/>
                <w:lang w:val="lt-LT" w:eastAsia="en-US" w:bidi="ar-SA"/>
              </w:rPr>
              <w:t>1 uždavinys. Užtikrinti, kad Anykščių rajono savivaldybėje ir jai pavaldžiose įmonėse ir įstaigose dirbtų nepriekaištingos reputacijos asmenys.</w:t>
            </w:r>
          </w:p>
        </w:tc>
      </w:tr>
      <w:tr>
        <w:trPr>
          <w:trHeight w:val="1717"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1.</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Teikti rašytines rekomendacijas Savivaldybės administracijos darbuotojams dėl nusišalinimo nuo atitinkamų klausimų svarstymo ir sprendimų priėmimo.</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Savivaldybės administracijos direktorius ar jo įgaliotas asmuo.</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Išankstinės rašytinės rekomendacijos teikiamos iki einamų metų birželio 1 d. Rekomendacijos teikiamos pagal poreikį.</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Pateiktų rekomendacijų tarnautojams dėl nusišalinimo nuo atitinkamų klausimų svarstymo ir sprendimų priėmimo skaičius.</w:t>
            </w:r>
          </w:p>
        </w:tc>
        <w:tc>
          <w:tcPr>
            <w:tcW w:w="2379" w:type="dxa"/>
            <w:tcBorders/>
            <w:shd w:color="auto" w:fill="auto" w:val="clear"/>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2.</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Vykdyti asmenų, siekiančių eiti valstybės ar Savivaldybės įstaigose ir įmonėse, priėmimo į pareigas tikrinimo tvarką, vadovaujantis LR korupcijos prevencijos įstatymo 15 straipsniu.</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Savivaldybei pavaldžių įmonių ir įstaigų vadovai, Anykščių rajono savivaldybės administracijos Teisės, personalo ir civilinės metrikacijos skyriaus vyriausiasis specialistas.</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Prieš skiriant į pareigas.</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100 proc. tikrinami asmenys, kurie privalo būti patikrinti prieš skiriant į pareigas asmenį.</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Anykščių PSPC 100 proc. tikrinami asmenys, kurie privalo b</w:t>
            </w:r>
            <w:r>
              <w:rPr>
                <w:rFonts w:eastAsia="Calibri" w:cs=""/>
                <w:kern w:val="2"/>
                <w:sz w:val="24"/>
                <w:szCs w:val="22"/>
                <w:lang w:val="lt-LT" w:eastAsia="en-US" w:bidi="ar-SA"/>
              </w:rPr>
              <w:t>ūti patikrinti prieš skiriant į pareigas asmenį.</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3.</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Atnaujinti Savivaldybės administracijoje valstybės tarnyboje dirbančių asmenų privačių interesų deklaravimo ir nusišalinimo tvarkos aprašą, kontroliuoti, ar asmenys laiku ir tinkamai pateikia viešųjų ir privačių interesų deklaracijas ir pagal poreikį, juos konsultuoti.</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Savivaldybės administracijos direktorius ar jo įgaliotas asmuo.</w:t>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Nuolat.</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Pateiktų deklaracijų skaičiaus nuo būtinų pateikti deklaracijų skaičiaus santykis (100 proc.).</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4.</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 xml:space="preserve">Užtikrinti, kad Savivaldybei pavaldžių įstaigų ir įmonių darbuotojai ir valstybės  tarnautojai būtų pasirašytinai supažindinti su įstaigoje </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 xml:space="preserve">/ įmonėje priimtais dokumentais, </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 xml:space="preserve">susijusiais su atitinkamų teisių ir pareigų nustatymu korupcijos prevencijos, </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viešųjų ir privačių interesų derinimo srityse.</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Savivaldybei pavaldžių įstaigų ir įmonių vadovų paskirti už darbuotojų ir tarnautojų supažindinimą su įstaigoje esančiais dokumentais atsakingi asmenys, Savivaldybės administracijos teisės, personalo ir civilinės metrikacijos skyriaus vyriausiasis specialistas,  atsakingas už korupcijos prevenciją.</w:t>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Per 3 darbo dienas nuo priėmimo į darbą arba per 10 darbo dienas nuo naujų teisės aktų įsigaliojimo.</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Priimtų dokumentų, susijusių su atitinkamų teisių ir pareigų nustatymu korupcijos prevencijos ir viešųjų ir privačių interesų derinimo tikslais bendro skaičiaus ir minėto pobūdžio dokumentų, su kuriais pasirašytinai supažindinti darbuotojai ar tarnautojai, santykis (100 proc.).</w:t>
            </w:r>
          </w:p>
        </w:tc>
        <w:tc>
          <w:tcPr>
            <w:tcW w:w="2379" w:type="dxa"/>
            <w:tcBorders/>
            <w:shd w:color="auto" w:fill="auto" w:val="clear"/>
          </w:tcPr>
          <w:p>
            <w:pPr>
              <w:pStyle w:val="Normal"/>
              <w:widowControl/>
              <w:suppressAutoHyphens w:val="true"/>
              <w:spacing w:lineRule="auto" w:line="240" w:before="0" w:after="0"/>
              <w:jc w:val="left"/>
              <w:rPr>
                <w:lang w:val="lt-LT"/>
              </w:rPr>
            </w:pPr>
            <w:r>
              <w:rPr>
                <w:rFonts w:eastAsia="Calibri" w:cs=""/>
                <w:kern w:val="2"/>
                <w:sz w:val="24"/>
                <w:szCs w:val="22"/>
                <w:lang w:val="en-US" w:eastAsia="en-US" w:bidi="ar-SA"/>
              </w:rPr>
              <w:t>Anykščių PSPC 100 proc. priimti dokumentai, susij</w:t>
            </w:r>
            <w:r>
              <w:rPr>
                <w:rFonts w:eastAsia="Calibri" w:cs=""/>
                <w:kern w:val="2"/>
                <w:sz w:val="24"/>
                <w:szCs w:val="22"/>
                <w:lang w:val="lt-LT" w:eastAsia="en-US" w:bidi="ar-SA"/>
              </w:rPr>
              <w:t>ę su atitinkamų teisių ir pareigų nustatymu korupcijos prevencijos ir viešųjų ir privačių interesų derinimo tikslais, su kuriais pasirašytinai supažindinti darbuotojai.</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5.</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Užtikrinti, kad viešųjų pirkimų procedūrose dalyvautų ar su pirkimu susijusius sprendimus priimtų darbuotojai, kurie prieš tai pasirašė konfidencialumo pasižadėjimą, Viešųjų pirkimų tarnybos kartu su Vyriausiąja tarnybinės etikos komisija nustatytos formos nešališkumo deklaraciją ir deklaravo viešus ir privačius interesus.</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Anykščių rajono savivaldybės administracijos Teisės, personalo ir civilinės metrikacijos skyriaus vyriausiasis specialistas  atsakingas už korupcijos prevenciją, Viešųjų pirkimų ir turto skyrius,</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Savivaldybei pavaldžių įstaigų ir įmonių vadovai.</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Konfidencialumo pasižadėjimas, nešališkumo deklaracija, vieši ir privatūs interesai deklaruojami per įstatymų nustatytus terminus.</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Viešųjų pirkimų procedūrose dalyvauja darbuotojai, pasirašę konfidencialumo pasižadėjimą, nešališkumo deklaraciją ir deklaravę privačius interesus (100 proc.).</w:t>
            </w:r>
          </w:p>
        </w:tc>
        <w:tc>
          <w:tcPr>
            <w:tcW w:w="2379" w:type="dxa"/>
            <w:tcBorders/>
            <w:shd w:color="auto" w:fill="auto" w:val="clear"/>
          </w:tcPr>
          <w:p>
            <w:pPr>
              <w:pStyle w:val="Normal"/>
              <w:widowControl/>
              <w:suppressAutoHyphens w:val="true"/>
              <w:spacing w:lineRule="auto" w:line="240" w:before="0" w:after="0"/>
              <w:jc w:val="left"/>
              <w:rPr>
                <w:lang w:val="lt-LT"/>
              </w:rPr>
            </w:pPr>
            <w:r>
              <w:rPr>
                <w:rFonts w:eastAsia="Calibri" w:cs=""/>
                <w:kern w:val="2"/>
                <w:sz w:val="24"/>
                <w:szCs w:val="22"/>
                <w:lang w:val="en-US" w:eastAsia="en-US" w:bidi="ar-SA"/>
              </w:rPr>
              <w:t>Anykščių PSPC 100 proc. vie</w:t>
            </w:r>
            <w:r>
              <w:rPr>
                <w:rFonts w:eastAsia="Calibri" w:cs=""/>
                <w:kern w:val="2"/>
                <w:sz w:val="24"/>
                <w:szCs w:val="22"/>
                <w:lang w:val="lt-LT" w:eastAsia="en-US" w:bidi="ar-SA"/>
              </w:rPr>
              <w:t>šųjų pirkimų procedūrose dalyvauja darbuotojai, pasirašę konfidencialumo pasižadėjimą, nešališkumo deklaraciją ir deklaravę privačius interesus.</w:t>
            </w:r>
          </w:p>
        </w:tc>
      </w:tr>
      <w:tr>
        <w:trPr>
          <w:trHeight w:val="229" w:hRule="atLeast"/>
        </w:trPr>
        <w:tc>
          <w:tcPr>
            <w:tcW w:w="14053" w:type="dxa"/>
            <w:gridSpan w:val="6"/>
            <w:tcBorders/>
          </w:tcPr>
          <w:p>
            <w:pPr>
              <w:pStyle w:val="Normal"/>
              <w:widowControl/>
              <w:suppressAutoHyphens w:val="true"/>
              <w:spacing w:lineRule="auto" w:line="240" w:before="0" w:after="0"/>
              <w:jc w:val="left"/>
              <w:rPr>
                <w:rFonts w:eastAsia="Calibri"/>
              </w:rPr>
            </w:pPr>
            <w:r>
              <w:rPr>
                <w:rFonts w:eastAsia="Calibri" w:cs=""/>
                <w:b/>
                <w:kern w:val="2"/>
                <w:sz w:val="24"/>
                <w:szCs w:val="22"/>
                <w:lang w:val="lt-LT" w:eastAsia="en-US" w:bidi="ar-SA"/>
              </w:rPr>
              <w:t>2 uždavinys. Užtikrinti, kad būtų laiku nustatomi ir išanalizuojami įtarimai dėl galimai korupcinio pobūdžio Savivaldybės  bei jai  pavaldžių įstaigų bei įmonių valstybės tarnautojų ir darbuotojų veiklos, o pasitvirtinus informacijai apie korupcijos faktą, perduoti medžiagą tokius nusikaltimus (nusižengimus) tiriančioms institucijoms.</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1.</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Tirti gaunamą informaciją apie galimai korupcinę Savivaldybės bei jai pavaldžių įstaigų ir įmonių darbuotojų veiklą.</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Savivaldybės Antikorupcijos komisija, Savivaldybei pavaldžių įstaigų ir įmonių vadovai, Savivaldybės administracijos teisės, personalo ir civilinės metrikacijos skyriaus vyriausiasis specialistas,  atsakingas už korupcijos prevenciją.</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Gauta informacija išnagrinėjama per 10 darbo dienų.</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Gautų ir ištirtų pranešimų apie galimai korupcinę veiklą skaičiaus santykis (ne mažiau kaip 100 proc.).</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Anykščių PSPC nebuvo gauta pranešimų apie galimai korupcinę veiklą.</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2.</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Pranešti teisėsaugos institucijoms pagal kompetenciją apie galimai korupcinę veiklą, jei kyla pagrįstų įtarimų dėl galimai nusikalstamos ar turinčios baudžiamojo nusižengimo požymių veikos įvykdymo.</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Savivaldybei pavaldžių įstaigų ir įmonių vadovai, Savivaldybės antikorupcijos komisija, Savivaldybės administracijos Teisės, personalo ir civilinės metrikacijos skyriaus vyriausiasis specialistas,  atsakingas už korupcijos prevenciją.</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Nuolat.</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Pagrįstų pranešimų apie galimai korupcinio pobūdžio veikas ir perduotų teisėsaugos institucijoms pranešimų apie korupcines veikas skaičiaus santykis (100 proc.).</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Anykščių PSPC nebuvo gauta pagrįstų pranešimų apie galimai korupcinio pobūdžio veikas.</w:t>
            </w:r>
          </w:p>
        </w:tc>
      </w:tr>
      <w:tr>
        <w:trPr>
          <w:trHeight w:val="229" w:hRule="atLeast"/>
        </w:trPr>
        <w:tc>
          <w:tcPr>
            <w:tcW w:w="14053" w:type="dxa"/>
            <w:gridSpan w:val="6"/>
            <w:tcBorders/>
            <w:shd w:color="auto" w:fill="E7E6E6" w:themeFill="background2" w:val="clear"/>
          </w:tcPr>
          <w:p>
            <w:pPr>
              <w:pStyle w:val="Normal"/>
              <w:widowControl/>
              <w:suppressAutoHyphens w:val="true"/>
              <w:spacing w:lineRule="auto" w:line="240" w:before="0" w:after="0"/>
              <w:jc w:val="left"/>
              <w:rPr>
                <w:rFonts w:eastAsia="Calibri"/>
              </w:rPr>
            </w:pPr>
            <w:r>
              <w:rPr>
                <w:rFonts w:eastAsia="Calibri" w:cs=""/>
                <w:b/>
                <w:kern w:val="2"/>
                <w:sz w:val="24"/>
                <w:szCs w:val="22"/>
                <w:lang w:val="lt-LT" w:eastAsia="en-US" w:bidi="ar-SA"/>
              </w:rPr>
              <w:t>TREČIASIS VEIKSMŲ PLANO TIKSLAS – PLĖTOTI ANTIKORUPCINĘ KULTŪRĄ, Į ANTIKORUPCINĘ VEIKLĄ ĮTRAUKIANT VISUOMENĘ</w:t>
            </w:r>
          </w:p>
        </w:tc>
      </w:tr>
      <w:tr>
        <w:trPr>
          <w:trHeight w:val="229" w:hRule="atLeast"/>
        </w:trPr>
        <w:tc>
          <w:tcPr>
            <w:tcW w:w="14053" w:type="dxa"/>
            <w:gridSpan w:val="6"/>
            <w:tcBorders/>
          </w:tcPr>
          <w:p>
            <w:pPr>
              <w:pStyle w:val="Normal"/>
              <w:widowControl/>
              <w:suppressAutoHyphens w:val="true"/>
              <w:spacing w:lineRule="auto" w:line="240" w:before="0" w:after="0"/>
              <w:jc w:val="left"/>
              <w:rPr>
                <w:rFonts w:eastAsia="Calibri"/>
              </w:rPr>
            </w:pPr>
            <w:r>
              <w:rPr>
                <w:rFonts w:eastAsia="Calibri" w:cs=""/>
                <w:b/>
                <w:kern w:val="2"/>
                <w:sz w:val="24"/>
                <w:szCs w:val="22"/>
                <w:lang w:val="lt-LT" w:eastAsia="en-US" w:bidi="ar-SA"/>
              </w:rPr>
              <w:t>1 uždavinys. Užtikrinti, kad gyventojams būtų sudaryta galimybė anonimiškai pateikti informaciją apie Savivaldybei pavaldžių įstaigų ir įmonių tarnautojų ir darbuotojų teikiamų paslaugų kokybę ar galimai vykdomą korupcinę veiklą.</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1.</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Savivaldybėje, Savivaldybės pavaldžiose įstaigose ir įmonėse sudaryti galimybes pateikti gyventojams anonimines anketas apie korupcinio pobūdžio apraiškas.</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Savivaldybės administracijos Teisės, personalo ir civilinės metrikacijos skyriaus vyriausiasis specialistas  atsakingas už korupcijos prevenciją, Savivaldybės bendrojo ir ūkio skyriaus „Vieno langelio“ specialistai, Savivaldybei pavaldžių įstaigų ir įmonių vadovai.</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Iki kiekvienų metų gruodžio 1 d. pateiktos anketos Savivaldybės administracijos teisės, personalo ir civilinės metrikacijos skyriaus vyriausiajam specialistui, atsakingam už korupcijos prevenciją.</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Įvertintos visos anketos ir pateiktos rekomendacijos Anykščių rajono savivaldybės Antikorupcijos komisijai.</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Anykščių PSPC nebuvo gauta užpildytų anoniminių</w:t>
            </w:r>
          </w:p>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anketų apie korupcinio pobūdžio apraiškas.</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2.</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Užtikrinti galimybę asmenims anonimiškai pranešti apie korupcines apraiškas Savivaldybėje ar jai pavaldžiose įmonėse ir įstaigose elektroniniu paštu.</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Savivaldybės administracijos Teisės, personalo ir civilinės metrikacijos skyriaus vyriausiasis specialistas  atsakingas už korupcijos prevenciją, Savivaldybei pavaldžių įstaigų ir įmonių vadovai.</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Nuolat.</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Sukurti ​​vidinį informacijos apie pažeidimus teikimo kanalą</w:t>
            </w:r>
            <w:r>
              <w:rPr>
                <w:rFonts w:eastAsia="Calibri" w:cs=""/>
                <w:b/>
                <w:bCs/>
                <w:kern w:val="2"/>
                <w:sz w:val="24"/>
                <w:szCs w:val="22"/>
                <w:lang w:val="lt-LT" w:eastAsia="en-US" w:bidi="ar-SA"/>
              </w:rPr>
              <w:t> </w:t>
            </w:r>
            <w:r>
              <w:rPr>
                <w:rFonts w:eastAsia="Calibri" w:cs=""/>
                <w:kern w:val="2"/>
                <w:sz w:val="24"/>
                <w:szCs w:val="22"/>
                <w:lang w:val="lt-LT" w:eastAsia="en-US" w:bidi="ar-SA"/>
              </w:rPr>
              <w:t xml:space="preserve">(toliau - Vidinis kanalas). Visi gauti raštiški ir elektroniniai pranešimai, susiję su pranešimais apie korupcijos apraiškas ištiriami (100 proc.). </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Anykščių PSPC sukurtas vidinis kanalas, tačiau pranešimų nebuvo gauta.</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3.</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Įpareigoti Savivaldybės įstaigų ir įmonių, turinčių interneto svetaines, vadovus atnaujinti svetainės skyrių „Korupcijos prevencija“ ir skelbti reikalingą informaciją.</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Savivaldybei pavaldžių įstaigų ir įmonių vadovai.</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Nuolat.</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Visose Savivaldybės įstaigose ir įmonėse, turinčiose interneto svetaines, atnaujintas svetainės skyrius „Korupcijos prevencija“ ir skelbiama aktuali informacija.</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 xml:space="preserve">Anykščių PSPC interneto svetainės </w:t>
            </w:r>
            <w:hyperlink r:id="rId3">
              <w:r>
                <w:rPr>
                  <w:rStyle w:val="Hyperlink"/>
                  <w:rFonts w:eastAsia="Calibri" w:cs=""/>
                  <w:kern w:val="2"/>
                  <w:sz w:val="24"/>
                  <w:szCs w:val="22"/>
                  <w:lang w:val="en-US" w:eastAsia="en-US" w:bidi="ar-SA"/>
                </w:rPr>
                <w:t>www.anykpspc.lt</w:t>
              </w:r>
            </w:hyperlink>
            <w:r>
              <w:rPr>
                <w:rFonts w:eastAsia="Calibri" w:cs=""/>
                <w:kern w:val="2"/>
                <w:sz w:val="24"/>
                <w:szCs w:val="22"/>
                <w:lang w:val="en-US" w:eastAsia="en-US" w:bidi="ar-SA"/>
              </w:rPr>
              <w:t xml:space="preserve"> nuorodoje “Korupcijos prevencija” skelbiama aktuali informacija.</w:t>
            </w:r>
          </w:p>
        </w:tc>
      </w:tr>
      <w:tr>
        <w:trPr>
          <w:trHeight w:val="229" w:hRule="atLeast"/>
        </w:trPr>
        <w:tc>
          <w:tcPr>
            <w:tcW w:w="11674" w:type="dxa"/>
            <w:gridSpan w:val="5"/>
            <w:tcBorders/>
          </w:tcPr>
          <w:p>
            <w:pPr>
              <w:pStyle w:val="Normal"/>
              <w:widowControl/>
              <w:suppressAutoHyphens w:val="true"/>
              <w:spacing w:before="0" w:after="0"/>
              <w:jc w:val="left"/>
              <w:rPr>
                <w:b/>
                <w:lang w:val="lt-LT"/>
              </w:rPr>
            </w:pPr>
            <w:r>
              <w:rPr>
                <w:rFonts w:eastAsia="Calibri" w:cs=""/>
                <w:b/>
                <w:kern w:val="2"/>
                <w:sz w:val="24"/>
                <w:szCs w:val="22"/>
                <w:lang w:val="lt-LT" w:eastAsia="en-US" w:bidi="ar-SA"/>
              </w:rPr>
              <w:t>2 uždavinys. Skelbti viešai informaciją apie korupcijos prevencijos priemonių įgyvendinimą.</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1.</w:t>
            </w:r>
          </w:p>
        </w:tc>
        <w:tc>
          <w:tcPr>
            <w:tcW w:w="2645" w:type="dxa"/>
            <w:tcBorders/>
          </w:tcPr>
          <w:p>
            <w:pPr>
              <w:pStyle w:val="Normal"/>
              <w:widowControl/>
              <w:suppressAutoHyphens w:val="true"/>
              <w:spacing w:lineRule="auto" w:line="240" w:before="0" w:after="0"/>
              <w:jc w:val="left"/>
              <w:rPr>
                <w:lang w:val="lt-LT"/>
              </w:rPr>
            </w:pPr>
            <w:r>
              <w:rPr>
                <w:rFonts w:eastAsia="Calibri" w:cs=""/>
                <w:bCs/>
                <w:kern w:val="2"/>
                <w:sz w:val="24"/>
                <w:szCs w:val="22"/>
                <w:lang w:val="lt-LT" w:eastAsia="en-US" w:bidi="ar-SA"/>
              </w:rPr>
              <w:t xml:space="preserve">Viešai skelbti Savivaldybės Korupcijos prevencijos veiksmų planą ir įgyvendinimo priemonių planą savivaldybės interneto svetainėje bei </w:t>
            </w:r>
            <w:r>
              <w:rPr>
                <w:rFonts w:eastAsia="Calibri" w:cs=""/>
                <w:kern w:val="2"/>
                <w:sz w:val="24"/>
                <w:szCs w:val="22"/>
                <w:lang w:val="lt-LT" w:eastAsia="en-US" w:bidi="ar-SA"/>
              </w:rPr>
              <w:t xml:space="preserve"> Savivaldybei pavaldžių įstaigų internetiniuose puslapiuose, tikslinti, atnaujinti skelbiamą informaciją.</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Savivaldybei pavaldžių įstaigų ir įmonių vadovai, Savivaldybės administracijos teisės, personalo ir civilinės metrikacijos  skyriaus vyriausiasis specialistas, Bendrasis ir ūkio skyrius.</w:t>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Nuolat.</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Savivaldybė bei Savivaldybei pavaldžios įstaigos, įmonės skelbia informaciją apie įvykdytas korupcijos prevencijos priemones įtvirtintas Korupcijos prevencijos veiksmų plane.</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 xml:space="preserve">Anykščių PSPC interneto svetainės </w:t>
            </w:r>
            <w:hyperlink r:id="rId4">
              <w:r>
                <w:rPr>
                  <w:rStyle w:val="Hyperlink"/>
                  <w:rFonts w:eastAsia="Calibri" w:cs=""/>
                  <w:kern w:val="2"/>
                  <w:sz w:val="24"/>
                  <w:szCs w:val="22"/>
                  <w:lang w:val="en-US" w:eastAsia="en-US" w:bidi="ar-SA"/>
                </w:rPr>
                <w:t>www.anykpspc.lt</w:t>
              </w:r>
            </w:hyperlink>
            <w:r>
              <w:rPr>
                <w:rFonts w:eastAsia="Calibri" w:cs=""/>
                <w:kern w:val="2"/>
                <w:sz w:val="24"/>
                <w:szCs w:val="22"/>
                <w:lang w:val="en-US" w:eastAsia="en-US" w:bidi="ar-SA"/>
              </w:rPr>
              <w:t xml:space="preserve"> nuorodoje “Korupcijos prevencija” skelbiama informacija apie įvykdytas korupcijos prevencijos priemones įtvirtintas Korupcijos prevencijos veiksmų plane.</w:t>
            </w:r>
          </w:p>
        </w:tc>
      </w:tr>
      <w:tr>
        <w:trPr>
          <w:trHeight w:val="229" w:hRule="atLeast"/>
        </w:trPr>
        <w:tc>
          <w:tcPr>
            <w:tcW w:w="14053" w:type="dxa"/>
            <w:gridSpan w:val="6"/>
            <w:tcBorders/>
          </w:tcPr>
          <w:p>
            <w:pPr>
              <w:pStyle w:val="Normal"/>
              <w:widowControl/>
              <w:suppressAutoHyphens w:val="true"/>
              <w:spacing w:lineRule="auto" w:line="240" w:before="0" w:after="0"/>
              <w:jc w:val="left"/>
              <w:rPr>
                <w:rFonts w:eastAsia="Calibri"/>
              </w:rPr>
            </w:pPr>
            <w:r>
              <w:rPr>
                <w:rFonts w:eastAsia="Calibri" w:cs=""/>
                <w:b/>
                <w:kern w:val="2"/>
                <w:sz w:val="24"/>
                <w:szCs w:val="22"/>
                <w:lang w:val="lt-LT" w:eastAsia="en-US" w:bidi="ar-SA"/>
              </w:rPr>
              <w:t>3 uždavinys. Diegti antikorupcinio švietimo programas, didinti antikorupcinio švietimo sklaidą Savivaldybėje ir jai pavaldžiose įstaigose.</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1.</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Organizuoti mokymus, seminarus, susitikimus su institucijų, vykdančių korupcijos prevenciją, atstovais bei kitus renginius, skirtus korupcijos prevencijai.</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Savivaldybės ir  Savivaldybei pavaldžių įstaigų vadovai ir darbuotojai.</w:t>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Iki kiekvienų metų gruodžio 31d.</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Ne mažiau kaip du seminarai ar kiti renginiai korupcijos prevencijos klausimais per metus.</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Anykščių PSPC atstovai dalyvavo:</w:t>
            </w:r>
          </w:p>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r>
          </w:p>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t>2024-02-13 STT orgnizuotuose  “Personalo patikimumo u</w:t>
            </w:r>
            <w:r>
              <w:rPr>
                <w:rFonts w:eastAsia="Calibri" w:cs=""/>
                <w:kern w:val="2"/>
                <w:sz w:val="24"/>
                <w:szCs w:val="22"/>
                <w:lang w:val="lt-LT" w:eastAsia="en-US" w:bidi="ar-SA"/>
              </w:rPr>
              <w:t>žtikrinimas“,</w:t>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r>
          </w:p>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2024-12-16 STT paskaitoje korupcijos prevencijos tema.</w:t>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 xml:space="preserve">2. </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Parengti / demonstruoti vizualią informaciją skirtą didinti antikorupcinį sąmoningumą, formuoti skaidrumo nuostatas ir kultūrą.</w:t>
            </w:r>
          </w:p>
        </w:tc>
        <w:tc>
          <w:tcPr>
            <w:tcW w:w="2694"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 xml:space="preserve">Savivaldybės administracijos Teisės, personalo ir civilinės metrikacijos skyriaus vyriausiasis specialistas,  atsakingas už korupcijos prevenciją. </w:t>
            </w:r>
          </w:p>
        </w:tc>
        <w:tc>
          <w:tcPr>
            <w:tcW w:w="2551"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 xml:space="preserve">Iki kiekvienų metų gruodžio 31 d. </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Ne mažiau kaip 1 k. metuose Savivaldybės ir jai pavaldžių įstaigų interneto svetainėse ir (arba) Anykščių miesto erdvėse esančiuose lauko ekranuose, Įstaigų patalpose demonstruoti vizualią (avi, jpeg ar kt. formatu) informaciją, skirtą didinti gyventojų antikorupcinį sąmoningumą.</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r>
          </w:p>
        </w:tc>
      </w:tr>
      <w:tr>
        <w:trPr>
          <w:trHeight w:val="229" w:hRule="atLeast"/>
        </w:trPr>
        <w:tc>
          <w:tcPr>
            <w:tcW w:w="948"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 xml:space="preserve">3. </w:t>
            </w:r>
          </w:p>
        </w:tc>
        <w:tc>
          <w:tcPr>
            <w:tcW w:w="2645"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Organizuoti renginį, skirtą Tarptautinei antikorupcijos dienai paminėti.</w:t>
            </w:r>
          </w:p>
        </w:tc>
        <w:tc>
          <w:tcPr>
            <w:tcW w:w="2694" w:type="dxa"/>
            <w:tcBorders/>
          </w:tcPr>
          <w:p>
            <w:pPr>
              <w:pStyle w:val="Normal"/>
              <w:widowControl/>
              <w:suppressAutoHyphens w:val="true"/>
              <w:spacing w:lineRule="auto" w:line="240" w:before="0" w:after="0"/>
              <w:jc w:val="left"/>
              <w:rPr>
                <w:lang w:val="lt-LT"/>
              </w:rPr>
            </w:pPr>
            <w:r>
              <w:rPr>
                <w:rFonts w:eastAsia="Calibri" w:cs=""/>
                <w:bCs/>
                <w:kern w:val="2"/>
                <w:sz w:val="24"/>
                <w:szCs w:val="22"/>
                <w:lang w:val="lt-LT" w:eastAsia="en-US" w:bidi="ar-SA"/>
              </w:rPr>
              <w:t>Savivaldybei pavaldžių Švietimo įstaigų vadovai.</w:t>
            </w:r>
          </w:p>
        </w:tc>
        <w:tc>
          <w:tcPr>
            <w:tcW w:w="2551" w:type="dxa"/>
            <w:tcBorders/>
          </w:tcPr>
          <w:p>
            <w:pPr>
              <w:pStyle w:val="Normal"/>
              <w:widowControl/>
              <w:suppressAutoHyphens w:val="true"/>
              <w:spacing w:lineRule="auto" w:line="240" w:before="0" w:after="0"/>
              <w:jc w:val="left"/>
              <w:rPr>
                <w:lang w:val="lt-LT"/>
              </w:rPr>
            </w:pPr>
            <w:r>
              <w:rPr>
                <w:rFonts w:eastAsia="Calibri" w:cs=""/>
                <w:bCs/>
                <w:kern w:val="2"/>
                <w:sz w:val="24"/>
                <w:szCs w:val="22"/>
                <w:lang w:val="lt-LT" w:eastAsia="en-US" w:bidi="ar-SA"/>
              </w:rPr>
              <w:t>Kiekvienų metų gruodžio  mėn.</w:t>
            </w:r>
          </w:p>
        </w:tc>
        <w:tc>
          <w:tcPr>
            <w:tcW w:w="2836" w:type="dxa"/>
            <w:tcBorders/>
          </w:tcPr>
          <w:p>
            <w:pPr>
              <w:pStyle w:val="Normal"/>
              <w:widowControl/>
              <w:suppressAutoHyphens w:val="true"/>
              <w:spacing w:lineRule="auto" w:line="240" w:before="0" w:after="0"/>
              <w:jc w:val="left"/>
              <w:rPr>
                <w:lang w:val="lt-LT"/>
              </w:rPr>
            </w:pPr>
            <w:r>
              <w:rPr>
                <w:rFonts w:eastAsia="Calibri" w:cs=""/>
                <w:kern w:val="2"/>
                <w:sz w:val="24"/>
                <w:szCs w:val="22"/>
                <w:lang w:val="lt-LT" w:eastAsia="en-US" w:bidi="ar-SA"/>
              </w:rPr>
              <w:t>Suorganizuotas renginys, skirtas Tarptautinei antikorupcijos dienai paminėti, renginio apimtis (val.), dalyvių skaičius.</w:t>
            </w:r>
          </w:p>
        </w:tc>
        <w:tc>
          <w:tcPr>
            <w:tcW w:w="2379" w:type="dxa"/>
            <w:tcBorders/>
            <w:shd w:color="auto" w:fill="auto" w:val="clear"/>
          </w:tcPr>
          <w:p>
            <w:pPr>
              <w:pStyle w:val="Normal"/>
              <w:widowControl/>
              <w:suppressAutoHyphens w:val="true"/>
              <w:spacing w:lineRule="auto" w:line="240" w:before="0" w:after="0"/>
              <w:jc w:val="left"/>
              <w:rPr>
                <w:rFonts w:eastAsia="Calibri"/>
              </w:rPr>
            </w:pPr>
            <w:r>
              <w:rPr>
                <w:rFonts w:eastAsia="Calibri" w:cs=""/>
                <w:kern w:val="2"/>
                <w:sz w:val="24"/>
                <w:szCs w:val="22"/>
                <w:lang w:val="en-US" w:eastAsia="en-US" w:bidi="ar-SA"/>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Standard"/>
        <w:spacing w:lineRule="auto" w:line="360"/>
        <w:jc w:val="center"/>
        <w:rPr>
          <w:rFonts w:ascii="Times New Roman" w:hAnsi="Times New Roman"/>
          <w:color w:val="000000"/>
          <w:sz w:val="20"/>
          <w:szCs w:val="20"/>
        </w:rPr>
      </w:pPr>
      <w:r>
        <w:rPr>
          <w:rFonts w:ascii="Times New Roman" w:hAnsi="Times New Roman"/>
          <w:color w:val="000000"/>
          <w:sz w:val="20"/>
          <w:szCs w:val="20"/>
        </w:rPr>
        <w:t>D.Liugienė, tel. 068880601, el.p. diana.liugiene@anykpspc.lt</w:t>
      </w:r>
    </w:p>
    <w:p>
      <w:pPr>
        <w:pStyle w:val="Normal"/>
        <w:widowControl/>
        <w:suppressAutoHyphens w:val="true"/>
        <w:bidi w:val="0"/>
        <w:spacing w:lineRule="auto" w:line="259" w:before="0" w:after="160"/>
        <w:jc w:val="left"/>
        <w:rPr/>
      </w:pPr>
      <w:r>
        <w:rPr/>
      </w:r>
    </w:p>
    <w:sectPr>
      <w:type w:val="nextPage"/>
      <w:pgSz w:orient="landscape" w:w="15840" w:h="12240"/>
      <w:pgMar w:left="1134" w:right="1701" w:gutter="0" w:header="0" w:top="1701"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Segoe UI">
    <w:charset w:val="ba"/>
    <w:family w:val="swiss"/>
    <w:pitch w:val="variable"/>
  </w:font>
  <w:font w:name="Liberation Sans">
    <w:altName w:val="Arial"/>
    <w:charset w:val="ba"/>
    <w:family w:val="swiss"/>
    <w:pitch w:val="variable"/>
  </w:font>
</w:fonts>
</file>

<file path=word/settings.xml><?xml version="1.0" encoding="utf-8"?>
<w:settings xmlns:w="http://schemas.openxmlformats.org/wordprocessingml/2006/main">
  <w:zoom w:percent="100"/>
  <w:defaultTabStop w:val="720"/>
  <w:autoHyphenation w:val="true"/>
  <w:hyphenationZone w:val="396"/>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kern w:val="2"/>
        <w:sz w:val="24"/>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Times New Roman" w:hAnsi="Times New Roman" w:eastAsia="Calibri" w:cs="" w:cstheme="minorBidi" w:eastAsiaTheme="minorHAnsi"/>
      <w:color w:val="auto"/>
      <w:kern w:val="2"/>
      <w:sz w:val="24"/>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1722b8"/>
    <w:rPr>
      <w:color w:themeColor="hyperlink" w:val="0563C1"/>
      <w:u w:val="single"/>
    </w:rPr>
  </w:style>
  <w:style w:type="character" w:styleId="UnresolvedMention1" w:customStyle="1">
    <w:name w:val="Unresolved Mention1"/>
    <w:basedOn w:val="DefaultParagraphFont"/>
    <w:uiPriority w:val="99"/>
    <w:semiHidden/>
    <w:unhideWhenUsed/>
    <w:qFormat/>
    <w:rsid w:val="001722b8"/>
    <w:rPr>
      <w:color w:val="605E5C"/>
      <w:shd w:fill="E1DFDD" w:val="clear"/>
    </w:rPr>
  </w:style>
  <w:style w:type="character" w:styleId="DebesliotekstasDiagrama" w:customStyle="1">
    <w:name w:val="Debesėlio tekstas Diagrama"/>
    <w:basedOn w:val="DefaultParagraphFont"/>
    <w:link w:val="BalloonText"/>
    <w:uiPriority w:val="99"/>
    <w:semiHidden/>
    <w:qFormat/>
    <w:rsid w:val="00af342c"/>
    <w:rPr>
      <w:rFonts w:ascii="Segoe UI" w:hAnsi="Segoe UI" w:cs="Segoe UI"/>
      <w:sz w:val="18"/>
      <w:szCs w:val="18"/>
    </w:rPr>
  </w:style>
  <w:style w:type="paragraph" w:styleId="Antrat" w:customStyle="1">
    <w:name w:val="Antraštė"/>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Cs w:val="24"/>
    </w:rPr>
  </w:style>
  <w:style w:type="paragraph" w:styleId="Rodykl" w:customStyle="1">
    <w:name w:val="Rodyklė"/>
    <w:basedOn w:val="Normal"/>
    <w:qFormat/>
    <w:pPr>
      <w:suppressLineNumbers/>
    </w:pPr>
    <w:rPr>
      <w:rFonts w:cs="Arial"/>
    </w:rPr>
  </w:style>
  <w:style w:type="paragraph" w:styleId="ListParagraph">
    <w:name w:val="List Paragraph"/>
    <w:basedOn w:val="Normal"/>
    <w:uiPriority w:val="34"/>
    <w:qFormat/>
    <w:rsid w:val="00893260"/>
    <w:pPr>
      <w:spacing w:before="0" w:after="160"/>
      <w:ind w:left="720"/>
      <w:contextualSpacing/>
    </w:pPr>
    <w:rPr/>
  </w:style>
  <w:style w:type="paragraph" w:styleId="Standard" w:customStyle="1">
    <w:name w:val="Standard"/>
    <w:qFormat/>
    <w:rsid w:val="005c0f1d"/>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lt-LT" w:eastAsia="zh-CN" w:bidi="hi-IN"/>
      <w14:ligatures w14:val="none"/>
    </w:rPr>
  </w:style>
  <w:style w:type="paragraph" w:styleId="BalloonText">
    <w:name w:val="Balloon Text"/>
    <w:basedOn w:val="Normal"/>
    <w:link w:val="DebesliotekstasDiagrama"/>
    <w:uiPriority w:val="99"/>
    <w:semiHidden/>
    <w:unhideWhenUsed/>
    <w:qFormat/>
    <w:rsid w:val="00af342c"/>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prastojilentel">
    <w:name w:val="Normal Table"/>
    <w:uiPriority w:val="99"/>
    <w:semiHidden/>
    <w:unhideWhenUsed/>
    <w:tblPr>
      <w:tblCellMar>
        <w:top w:w="0" w:type="dxa"/>
        <w:left w:w="108" w:type="dxa"/>
        <w:bottom w:w="0" w:type="dxa"/>
        <w:right w:w="108" w:type="dxa"/>
      </w:tblCellMar>
    </w:tblPr>
  </w:style>
  <w:style w:type="table" w:styleId="Lentelstinklelis">
    <w:name w:val="Table Grid"/>
    <w:basedOn w:val="prastojilentel"/>
    <w:uiPriority w:val="39"/>
    <w:rsid w:val="00cc32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nykpspc.lt/" TargetMode="External"/><Relationship Id="rId3" Type="http://schemas.openxmlformats.org/officeDocument/2006/relationships/hyperlink" Target="http://www.anykpspc.lt/" TargetMode="External"/><Relationship Id="rId4" Type="http://schemas.openxmlformats.org/officeDocument/2006/relationships/hyperlink" Target="http://www.anykpspc.lt/"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0958-BDE7-4DF9-943F-1540E963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LibreOffice/24.8.4.2$Windows_X86_64 LibreOffice_project/bb3cfa12c7b1bf994ecc5649a80400d06cd71002</Application>
  <AppVersion>15.0000</AppVersion>
  <Pages>7</Pages>
  <Words>1471</Words>
  <Characters>11293</Characters>
  <CharactersWithSpaces>12682</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2025-01-30T10:50:00Z</dcterms:created>
  <dc:creator>Lenovo</dc:creator>
  <dc:description/>
  <dc:language>lt-LT</dc:language>
  <cp:lastModifiedBy>Gita</cp:lastModifiedBy>
  <cp:lastPrinted>2025-01-30T10:53:00Z</cp:lastPrinted>
  <dcterms:modified xsi:type="dcterms:W3CDTF">2025-01-30T10:53:00Z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